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30" w:rsidRDefault="0036343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363430" w:rsidRDefault="005A3E12">
      <w:pPr>
        <w:ind w:firstLineChars="50" w:firstLine="420"/>
        <w:jc w:val="left"/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</w:pPr>
      <w:r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38.2pt;margin-top:1in;width:117.5pt;height:85.95pt;z-index:251657728;mso-height-percent:200;mso-height-percent:200;mso-width-relative:margin;mso-height-relative:margin" strokecolor="white [3212]">
            <v:textbox style="mso-fit-shape-to-text:t">
              <w:txbxContent>
                <w:p w:rsidR="00363430" w:rsidRDefault="00A457C1">
                  <w:pPr>
                    <w:rPr>
                      <w:rFonts w:ascii="方正小标宋简体" w:eastAsia="方正小标宋简体"/>
                      <w:color w:val="FF0000"/>
                      <w:sz w:val="100"/>
                      <w:szCs w:val="100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sz w:val="100"/>
                      <w:szCs w:val="100"/>
                    </w:rPr>
                    <w:t>文件</w:t>
                  </w:r>
                </w:p>
              </w:txbxContent>
            </v:textbox>
          </v:shape>
        </w:pict>
      </w:r>
      <w:r w:rsidR="00A457C1"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 xml:space="preserve">南 乐 县 教 育 局   </w:t>
      </w:r>
    </w:p>
    <w:p w:rsidR="00363430" w:rsidRDefault="00A457C1">
      <w:pPr>
        <w:ind w:firstLineChars="50" w:firstLine="420"/>
        <w:jc w:val="left"/>
        <w:rPr>
          <w:rFonts w:ascii="方正小标宋简体" w:eastAsia="方正小标宋简体" w:hAnsi="方正小标宋简体" w:cs="方正小标宋简体"/>
          <w:color w:val="FF000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 xml:space="preserve">南 乐 县 财 政 局    </w:t>
      </w:r>
    </w:p>
    <w:p w:rsidR="00363430" w:rsidRDefault="00A457C1">
      <w:pPr>
        <w:ind w:firstLineChars="50" w:firstLine="420"/>
        <w:jc w:val="left"/>
        <w:rPr>
          <w:rFonts w:ascii="方正小标宋简体" w:eastAsia="方正小标宋简体"/>
          <w:color w:val="FF0000"/>
          <w:sz w:val="84"/>
          <w:szCs w:val="84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84"/>
          <w:szCs w:val="84"/>
        </w:rPr>
        <w:t>南 乐 县 统 计 局</w:t>
      </w:r>
    </w:p>
    <w:p w:rsidR="00363430" w:rsidRDefault="00363430">
      <w:pPr>
        <w:jc w:val="center"/>
        <w:rPr>
          <w:rFonts w:ascii="仿宋_GB2312" w:eastAsia="仿宋_GB2312"/>
          <w:sz w:val="32"/>
        </w:rPr>
      </w:pPr>
    </w:p>
    <w:p w:rsidR="00363430" w:rsidRDefault="00A457C1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乐教〔2018〕</w:t>
      </w:r>
      <w:r w:rsidR="0055241C">
        <w:rPr>
          <w:rFonts w:ascii="仿宋_GB2312" w:eastAsia="仿宋_GB2312" w:hint="eastAsia"/>
          <w:sz w:val="32"/>
        </w:rPr>
        <w:t>11</w:t>
      </w:r>
      <w:r>
        <w:rPr>
          <w:rFonts w:ascii="仿宋_GB2312" w:eastAsia="仿宋_GB2312" w:hint="eastAsia"/>
          <w:sz w:val="32"/>
        </w:rPr>
        <w:t>号</w:t>
      </w:r>
    </w:p>
    <w:p w:rsidR="00363430" w:rsidRDefault="005A3E12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3.4pt;margin-top:-.1pt;width:469.5pt;height:0;z-index:251659776" o:connectortype="straight" strokecolor="red"/>
        </w:pict>
      </w:r>
    </w:p>
    <w:p w:rsidR="00363430" w:rsidRDefault="0036343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3430" w:rsidRDefault="00A457C1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2016年全县教育经费执行情况统计公告</w:t>
      </w:r>
    </w:p>
    <w:p w:rsidR="00363430" w:rsidRDefault="00363430">
      <w:pPr>
        <w:keepNext/>
        <w:overflowPunct w:val="0"/>
        <w:spacing w:line="560" w:lineRule="exact"/>
        <w:ind w:left="640"/>
        <w:rPr>
          <w:rFonts w:ascii="黑体" w:eastAsia="黑体" w:hAnsi="黑体" w:cs="黑体"/>
          <w:sz w:val="32"/>
          <w:szCs w:val="32"/>
        </w:rPr>
      </w:pPr>
    </w:p>
    <w:p w:rsidR="00363430" w:rsidRDefault="00A457C1">
      <w:pPr>
        <w:spacing w:line="600" w:lineRule="exact"/>
        <w:ind w:firstLine="640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一、全县教育经费情况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2016年全县教育经费总投入62824.8万元，比上年58640万元增加4184.8万元，增长7.14%。其中，一般公共财政预算安排的教育事业费42282.6万元，比上年432731万元增长29.19%。</w:t>
      </w:r>
    </w:p>
    <w:p w:rsidR="00363430" w:rsidRDefault="00A457C1">
      <w:pPr>
        <w:spacing w:line="600" w:lineRule="exact"/>
        <w:ind w:firstLine="640"/>
        <w:rPr>
          <w:rFonts w:ascii="黑体" w:eastAsia="黑体" w:hAnsi="仿宋" w:cs="仿宋"/>
          <w:sz w:val="32"/>
          <w:szCs w:val="32"/>
        </w:rPr>
      </w:pPr>
      <w:r>
        <w:rPr>
          <w:rFonts w:ascii="黑体" w:eastAsia="黑体" w:hAnsi="仿宋" w:cs="仿宋" w:hint="eastAsia"/>
          <w:sz w:val="32"/>
          <w:szCs w:val="32"/>
        </w:rPr>
        <w:t>二、公共财政教育经费情况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（一）全县公共财政教育经费（包括教育事业费</w:t>
      </w:r>
      <w:r w:rsidR="0055241C">
        <w:rPr>
          <w:rFonts w:ascii="仿宋_GB2312" w:eastAsia="仿宋_GB2312" w:hAnsi="仿宋" w:cs="仿宋" w:hint="eastAsia"/>
          <w:sz w:val="32"/>
          <w:szCs w:val="32"/>
        </w:rPr>
        <w:t>、</w:t>
      </w:r>
      <w:r>
        <w:rPr>
          <w:rFonts w:ascii="仿宋_GB2312" w:eastAsia="仿宋_GB2312" w:hAnsi="仿宋" w:cs="仿宋" w:hint="eastAsia"/>
          <w:sz w:val="32"/>
          <w:szCs w:val="32"/>
        </w:rPr>
        <w:t>基本建设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经费和教育费附加）52079万元，比上年48196万元增加3883万元，增长8.06%。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（二）全县各级教育生均公共财政预算教育事业费支出增长情况。2016年全县普通小学、普通初中、普通高中、中等职业学校生均公共财政预算教育事业费支出情况：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1.普通小学生均公共财政预算教育事业费支出5627.17元，比上年5108.29元增长10.16%</w:t>
      </w:r>
      <w:r w:rsidR="0055241C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居全市第3位。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2.普通初中生均公共财政预算教育事业费支出9162.77元，比上年6891.2元增长32.96%</w:t>
      </w:r>
      <w:r w:rsidR="0055241C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居全市第1位。  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3.普通高中生均公共财政预算教育事业费支出4032.58元，比上年3444.1元增长17.09%</w:t>
      </w:r>
      <w:r w:rsidR="0055241C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居全市第3位。  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4.中等职业学校生均公共财政预算教育事业费支出20969.18元，比上年12573.78元增长66.77%</w:t>
      </w:r>
      <w:r w:rsidR="0055241C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居全市第1位。  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（三）全县各级教育生均公共财政预算公用经费支出增长情况。2016年全县普通小学、普通初中、普通高中、中等职业学校生均公共财政预算公用经费支出情况是：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1.普通小学生均公共财政预算公用经费支出2513.96元，比上年2291.79元增长9.69%</w:t>
      </w:r>
      <w:r w:rsidR="00710226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居全市第2位。  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2.普通初中生均公共财政预算公用经费支出4091.03元，比上年2016.14元增长102.91%</w:t>
      </w:r>
      <w:r w:rsidR="00710226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居全市第1位。  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3.普通高中生均公共财政预算公用经费支出1099.41元，比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上年的790.62元增长39.06%</w:t>
      </w:r>
      <w:r w:rsidR="00710226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居全市第2位。  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4.中等职业学校生均公共财政预算公用经费支出3521.98元，比上年2271.57元增长55.05%</w:t>
      </w:r>
      <w:r w:rsidR="00710226">
        <w:rPr>
          <w:rFonts w:ascii="仿宋_GB2312" w:eastAsia="仿宋_GB2312" w:hAnsi="仿宋" w:cs="仿宋" w:hint="eastAsia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sz w:val="32"/>
          <w:szCs w:val="32"/>
        </w:rPr>
        <w:t>居全市第2位。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（四）公共财政教育经费占公共财政支出比例情况。</w:t>
      </w: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2016年，全县公共财政教育经费占公共财政支出231868万元的比例为18.89%，比上年19.4%下降了0.51个百分点。</w:t>
      </w:r>
    </w:p>
    <w:p w:rsidR="00363430" w:rsidRDefault="0036343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363430" w:rsidRDefault="0036343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附件：2016年南乐县教育经费执行情况统计表</w:t>
      </w:r>
    </w:p>
    <w:p w:rsidR="00363430" w:rsidRDefault="0036343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363430" w:rsidRDefault="0036343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363430" w:rsidRDefault="0036343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363430" w:rsidRDefault="00A457C1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南乐县教育局     南乐县财政局      南乐县统计局</w:t>
      </w:r>
    </w:p>
    <w:p w:rsidR="00363430" w:rsidRDefault="0036343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363430" w:rsidRDefault="0036343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363430" w:rsidRDefault="00363430">
      <w:pPr>
        <w:spacing w:line="600" w:lineRule="exact"/>
        <w:ind w:firstLine="640"/>
        <w:rPr>
          <w:rFonts w:ascii="仿宋_GB2312" w:eastAsia="仿宋_GB2312" w:hAnsi="仿宋" w:cs="仿宋"/>
          <w:sz w:val="32"/>
          <w:szCs w:val="32"/>
        </w:rPr>
      </w:pPr>
    </w:p>
    <w:p w:rsidR="00363430" w:rsidRDefault="000D6506">
      <w:pPr>
        <w:spacing w:line="600" w:lineRule="exact"/>
        <w:ind w:right="640" w:firstLine="640"/>
        <w:jc w:val="center"/>
        <w:rPr>
          <w:rFonts w:ascii="仿宋_GB2312" w:eastAsia="仿宋_GB231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</w:t>
      </w:r>
      <w:r w:rsidR="00A457C1">
        <w:rPr>
          <w:rFonts w:ascii="仿宋_GB2312" w:eastAsia="仿宋_GB2312" w:hAnsi="仿宋" w:cs="仿宋" w:hint="eastAsia"/>
          <w:sz w:val="32"/>
          <w:szCs w:val="32"/>
        </w:rPr>
        <w:t>2018年1月2</w:t>
      </w:r>
      <w:r w:rsidR="000C1D71">
        <w:rPr>
          <w:rFonts w:ascii="仿宋_GB2312" w:eastAsia="仿宋_GB2312" w:hAnsi="仿宋" w:cs="仿宋" w:hint="eastAsia"/>
          <w:sz w:val="32"/>
          <w:szCs w:val="32"/>
        </w:rPr>
        <w:t>6</w:t>
      </w:r>
      <w:r w:rsidR="00A457C1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363430" w:rsidRDefault="00363430">
      <w:pPr>
        <w:spacing w:line="600" w:lineRule="exact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363430" w:rsidRDefault="0036343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363430" w:rsidRDefault="00363430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D87E44" w:rsidRDefault="00D87E44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363430" w:rsidRDefault="00A457C1">
      <w:pPr>
        <w:spacing w:line="6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附件</w:t>
      </w:r>
    </w:p>
    <w:p w:rsidR="00363430" w:rsidRPr="00ED582E" w:rsidRDefault="00A457C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D582E">
        <w:rPr>
          <w:rFonts w:ascii="方正小标宋简体" w:eastAsia="方正小标宋简体" w:hAnsi="方正小标宋简体" w:cs="方正小标宋简体"/>
          <w:sz w:val="44"/>
          <w:szCs w:val="44"/>
        </w:rPr>
        <w:t>2016年</w:t>
      </w:r>
      <w:r w:rsidRPr="00ED582E">
        <w:rPr>
          <w:rFonts w:ascii="方正小标宋简体" w:eastAsia="方正小标宋简体" w:hAnsi="方正小标宋简体" w:cs="方正小标宋简体" w:hint="eastAsia"/>
          <w:sz w:val="44"/>
          <w:szCs w:val="44"/>
        </w:rPr>
        <w:t>南乐</w:t>
      </w:r>
      <w:r w:rsidRPr="00ED582E">
        <w:rPr>
          <w:rFonts w:ascii="方正小标宋简体" w:eastAsia="方正小标宋简体" w:hAnsi="方正小标宋简体" w:cs="方正小标宋简体"/>
          <w:sz w:val="44"/>
          <w:szCs w:val="44"/>
        </w:rPr>
        <w:t>县教育经费执行情况统计表</w:t>
      </w:r>
    </w:p>
    <w:tbl>
      <w:tblPr>
        <w:tblStyle w:val="a9"/>
        <w:tblpPr w:leftFromText="180" w:rightFromText="180" w:vertAnchor="text" w:horzAnchor="page" w:tblpX="1697" w:tblpY="748"/>
        <w:tblOverlap w:val="never"/>
        <w:tblW w:w="9027" w:type="dxa"/>
        <w:tblLayout w:type="fixed"/>
        <w:tblCellMar>
          <w:left w:w="103" w:type="dxa"/>
        </w:tblCellMar>
        <w:tblLook w:val="04A0"/>
      </w:tblPr>
      <w:tblGrid>
        <w:gridCol w:w="1178"/>
        <w:gridCol w:w="1483"/>
        <w:gridCol w:w="1517"/>
        <w:gridCol w:w="1502"/>
        <w:gridCol w:w="1421"/>
        <w:gridCol w:w="1926"/>
      </w:tblGrid>
      <w:tr w:rsidR="00363430">
        <w:trPr>
          <w:trHeight w:val="1987"/>
        </w:trPr>
        <w:tc>
          <w:tcPr>
            <w:tcW w:w="1178" w:type="dxa"/>
            <w:shd w:val="clear" w:color="auto" w:fill="auto"/>
            <w:tcMar>
              <w:left w:w="103" w:type="dxa"/>
            </w:tcMar>
          </w:tcPr>
          <w:p w:rsidR="00363430" w:rsidRDefault="00363430">
            <w:pPr>
              <w:spacing w:line="500" w:lineRule="exact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63430" w:rsidRDefault="00A457C1">
            <w:pPr>
              <w:spacing w:line="50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地区</w:t>
            </w:r>
          </w:p>
        </w:tc>
        <w:tc>
          <w:tcPr>
            <w:tcW w:w="1483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公共财政教育经费（亿元）</w:t>
            </w:r>
          </w:p>
        </w:tc>
        <w:tc>
          <w:tcPr>
            <w:tcW w:w="1517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公共财政教育经费占公共财政支出比例（%）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公共财政教育经费本年比上年增长（%）</w:t>
            </w:r>
          </w:p>
        </w:tc>
        <w:tc>
          <w:tcPr>
            <w:tcW w:w="1421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财政经常性收入半年比上年增长（%）</w:t>
            </w:r>
          </w:p>
        </w:tc>
        <w:tc>
          <w:tcPr>
            <w:tcW w:w="1926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公共财政教育经费与财政经常性收入增长幅度比较（百分点）</w:t>
            </w:r>
          </w:p>
        </w:tc>
      </w:tr>
      <w:tr w:rsidR="00363430">
        <w:tc>
          <w:tcPr>
            <w:tcW w:w="1178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濮阳市</w:t>
            </w:r>
          </w:p>
        </w:tc>
        <w:tc>
          <w:tcPr>
            <w:tcW w:w="1483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42.55</w:t>
            </w:r>
          </w:p>
        </w:tc>
        <w:tc>
          <w:tcPr>
            <w:tcW w:w="1517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19.20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-0.09</w:t>
            </w:r>
          </w:p>
        </w:tc>
        <w:tc>
          <w:tcPr>
            <w:tcW w:w="1421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-8.02</w:t>
            </w:r>
          </w:p>
        </w:tc>
        <w:tc>
          <w:tcPr>
            <w:tcW w:w="1926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7.93</w:t>
            </w:r>
          </w:p>
        </w:tc>
      </w:tr>
      <w:tr w:rsidR="00363430">
        <w:tc>
          <w:tcPr>
            <w:tcW w:w="1178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南乐县</w:t>
            </w:r>
          </w:p>
        </w:tc>
        <w:tc>
          <w:tcPr>
            <w:tcW w:w="1483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4.38</w:t>
            </w:r>
          </w:p>
        </w:tc>
        <w:tc>
          <w:tcPr>
            <w:tcW w:w="1517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18.89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10.79</w:t>
            </w:r>
          </w:p>
        </w:tc>
        <w:tc>
          <w:tcPr>
            <w:tcW w:w="1421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11.35</w:t>
            </w:r>
          </w:p>
        </w:tc>
        <w:tc>
          <w:tcPr>
            <w:tcW w:w="1926" w:type="dxa"/>
            <w:shd w:val="clear" w:color="auto" w:fill="auto"/>
            <w:tcMar>
              <w:left w:w="103" w:type="dxa"/>
            </w:tcMar>
          </w:tcPr>
          <w:p w:rsidR="00363430" w:rsidRDefault="00A457C1">
            <w:pPr>
              <w:spacing w:line="5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-0.56</w:t>
            </w:r>
          </w:p>
        </w:tc>
      </w:tr>
    </w:tbl>
    <w:p w:rsidR="00363430" w:rsidRPr="00ED582E" w:rsidRDefault="00A457C1" w:rsidP="000D6506">
      <w:pPr>
        <w:spacing w:line="600" w:lineRule="exact"/>
        <w:jc w:val="center"/>
        <w:rPr>
          <w:rFonts w:ascii="方正小标宋简体" w:eastAsia="方正小标宋简体" w:hAnsi="仿宋" w:cs="仿宋"/>
          <w:bCs/>
          <w:sz w:val="32"/>
          <w:szCs w:val="32"/>
        </w:rPr>
      </w:pPr>
      <w:r w:rsidRPr="00ED582E">
        <w:rPr>
          <w:rFonts w:ascii="方正小标宋简体" w:eastAsia="方正小标宋简体" w:hAnsi="仿宋" w:cs="仿宋" w:hint="eastAsia"/>
          <w:bCs/>
          <w:sz w:val="32"/>
          <w:szCs w:val="32"/>
        </w:rPr>
        <w:t>表一   2016年公共财政教育经费增长情况</w:t>
      </w:r>
    </w:p>
    <w:p w:rsidR="00363430" w:rsidRDefault="00363430">
      <w:pPr>
        <w:rPr>
          <w:rFonts w:ascii="黑体" w:eastAsia="黑体" w:hAnsi="仿宋" w:cs="仿宋"/>
          <w:bCs/>
          <w:sz w:val="32"/>
          <w:szCs w:val="32"/>
        </w:rPr>
      </w:pPr>
    </w:p>
    <w:p w:rsidR="00363430" w:rsidRPr="00ED582E" w:rsidRDefault="005A3E12" w:rsidP="000D6506">
      <w:pPr>
        <w:keepNext/>
        <w:overflowPunct w:val="0"/>
        <w:jc w:val="center"/>
        <w:rPr>
          <w:rFonts w:ascii="方正小标宋简体" w:eastAsia="方正小标宋简体" w:hAnsi="仿宋" w:cs="仿宋"/>
          <w:b/>
          <w:bCs/>
          <w:sz w:val="32"/>
          <w:szCs w:val="32"/>
        </w:rPr>
      </w:pPr>
      <w:r w:rsidRPr="005A3E12">
        <w:rPr>
          <w:rFonts w:ascii="方正小标宋简体" w:eastAsia="方正小标宋简体"/>
        </w:rPr>
        <w:pict>
          <v:shape id="框架2" o:spid="_x0000_s1034" type="#_x0000_t202" style="position:absolute;left:0;text-align:left;margin-left:76.4pt;margin-top:29.7pt;width:451.4pt;height:212pt;z-index:251658752;mso-position-horizontal-relative:page" o:gfxdata="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H0RbePXAAAACwEAAA8AAAAAAAAAAQAgAAAAIgAA&#10;AGRycy9kb3ducmV2LnhtbFBLAQIUABQAAAAIAIdO4kDXhnLdlwEAABcDAAAOAAAAAAAAAAEAIAAA&#10;ACYBAABkcnMvZTJvRG9jLnhtbFBLBQYAAAAABgAGAFkBAAAvBQAAAAA=&#10;" filled="f" stroked="f">
            <v:textbox style="mso-fit-shape-to-text:t" inset="0,0,0,0">
              <w:txbxContent>
                <w:p w:rsidR="00363430" w:rsidRDefault="00363430"/>
              </w:txbxContent>
            </v:textbox>
            <w10:wrap type="square" anchorx="page"/>
          </v:shape>
        </w:pict>
      </w:r>
      <w:r w:rsidR="00A457C1" w:rsidRPr="00ED582E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表二（1）各级教育生均公共财政教育事业费增长情况</w:t>
      </w:r>
    </w:p>
    <w:p w:rsidR="00363430" w:rsidRPr="00ED582E" w:rsidRDefault="00A457C1">
      <w:pPr>
        <w:keepNext/>
        <w:overflowPunct w:val="0"/>
        <w:ind w:firstLineChars="2400" w:firstLine="7680"/>
        <w:rPr>
          <w:rFonts w:ascii="仿宋_GB2312" w:eastAsia="仿宋_GB2312" w:hAnsi="仿宋" w:cs="仿宋"/>
          <w:sz w:val="32"/>
          <w:szCs w:val="32"/>
        </w:rPr>
      </w:pPr>
      <w:r w:rsidRPr="00ED582E">
        <w:rPr>
          <w:rFonts w:ascii="仿宋_GB2312" w:eastAsia="仿宋_GB2312" w:hAnsi="仿宋" w:cs="仿宋" w:hint="eastAsia"/>
          <w:sz w:val="32"/>
          <w:szCs w:val="32"/>
        </w:rPr>
        <w:t>单位：元</w:t>
      </w:r>
      <w:r w:rsidR="005A3E12" w:rsidRPr="005A3E12">
        <w:rPr>
          <w:rFonts w:ascii="仿宋_GB2312" w:eastAsia="仿宋_GB2312"/>
        </w:rPr>
        <w:pict>
          <v:shape id="框架3" o:spid="_x0000_s1036" type="#_x0000_t202" style="position:absolute;left:0;text-align:left;margin-left:83.95pt;margin-top:15.5pt;width:426.1pt;height:91.45pt;z-index:251660800;mso-position-horizontal-relative:page;mso-position-vertical-relative:text" o:gfxdata="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I/U4oNYAAAALAQAADwAAAAAAAAABACAAAAAiAAAA&#10;ZHJzL2Rvd25yZXYueG1sUEsBAhQAFAAAAAgAh07iQC+VxSOXAQAAFwMAAA4AAAAAAAAAAQAgAAAA&#10;JQEAAGRycy9lMm9Eb2MueG1sUEsFBgAAAAAGAAYAWQEAAC4FAAAAAA==&#10;" filled="f" stroked="f">
            <v:textbox style="mso-fit-shape-to-text:t" inset="0,0,0,0">
              <w:txbxContent>
                <w:p w:rsidR="00363430" w:rsidRDefault="00363430"/>
              </w:txbxContent>
            </v:textbox>
            <w10:wrap type="square" anchorx="page"/>
          </v:shape>
        </w:pict>
      </w:r>
    </w:p>
    <w:tbl>
      <w:tblPr>
        <w:tblStyle w:val="a9"/>
        <w:tblpPr w:leftFromText="180" w:rightFromText="180" w:vertAnchor="text" w:horzAnchor="page" w:tblpX="1772" w:tblpY="300"/>
        <w:tblOverlap w:val="never"/>
        <w:tblW w:w="8750" w:type="dxa"/>
        <w:tblLayout w:type="fixed"/>
        <w:tblCellMar>
          <w:left w:w="103" w:type="dxa"/>
        </w:tblCellMar>
        <w:tblLook w:val="04A0"/>
      </w:tblPr>
      <w:tblGrid>
        <w:gridCol w:w="1216"/>
        <w:gridCol w:w="1297"/>
        <w:gridCol w:w="1276"/>
        <w:gridCol w:w="1276"/>
        <w:gridCol w:w="1275"/>
        <w:gridCol w:w="1276"/>
        <w:gridCol w:w="1134"/>
      </w:tblGrid>
      <w:tr w:rsidR="00363430" w:rsidRPr="00ED582E" w:rsidTr="00DA3985">
        <w:tc>
          <w:tcPr>
            <w:tcW w:w="1216" w:type="dxa"/>
            <w:vMerge w:val="restart"/>
            <w:shd w:val="clear" w:color="auto" w:fill="auto"/>
            <w:tcMar>
              <w:left w:w="103" w:type="dxa"/>
            </w:tcMar>
          </w:tcPr>
          <w:p w:rsidR="00363430" w:rsidRPr="00DA3985" w:rsidRDefault="00363430">
            <w:pPr>
              <w:keepNext/>
              <w:overflowPunct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地区</w:t>
            </w:r>
          </w:p>
        </w:tc>
        <w:tc>
          <w:tcPr>
            <w:tcW w:w="3849" w:type="dxa"/>
            <w:gridSpan w:val="3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普通小学</w:t>
            </w:r>
          </w:p>
        </w:tc>
        <w:tc>
          <w:tcPr>
            <w:tcW w:w="3685" w:type="dxa"/>
            <w:gridSpan w:val="3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普通初中</w:t>
            </w:r>
          </w:p>
        </w:tc>
      </w:tr>
      <w:tr w:rsidR="00363430" w:rsidRPr="00ED582E" w:rsidTr="00DA3985">
        <w:tc>
          <w:tcPr>
            <w:tcW w:w="1216" w:type="dxa"/>
            <w:vMerge/>
            <w:shd w:val="clear" w:color="auto" w:fill="auto"/>
            <w:tcMar>
              <w:left w:w="103" w:type="dxa"/>
            </w:tcMar>
          </w:tcPr>
          <w:p w:rsidR="00363430" w:rsidRPr="00DA3985" w:rsidRDefault="00363430">
            <w:pPr>
              <w:keepNext/>
              <w:overflowPunct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2015年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2016年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增长率（%）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2015年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2016年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增长率（%）</w:t>
            </w:r>
          </w:p>
        </w:tc>
      </w:tr>
      <w:tr w:rsidR="00363430" w:rsidRPr="00ED582E" w:rsidTr="00DA3985">
        <w:tc>
          <w:tcPr>
            <w:tcW w:w="1216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濮阳市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4804.79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4874.89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1.46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7365.95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8062.11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9.45</w:t>
            </w:r>
          </w:p>
        </w:tc>
      </w:tr>
      <w:tr w:rsidR="00363430" w:rsidRPr="00ED582E" w:rsidTr="00DA3985">
        <w:tc>
          <w:tcPr>
            <w:tcW w:w="1216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南乐县</w:t>
            </w:r>
          </w:p>
        </w:tc>
        <w:tc>
          <w:tcPr>
            <w:tcW w:w="1297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5108.29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5627.08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10.16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6891.17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9162.96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363430" w:rsidRPr="00DA3985" w:rsidRDefault="00A457C1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32.97</w:t>
            </w:r>
          </w:p>
        </w:tc>
      </w:tr>
    </w:tbl>
    <w:p w:rsidR="006B7C68" w:rsidRDefault="006B7C68" w:rsidP="000D6506">
      <w:pPr>
        <w:keepNext/>
        <w:overflowPunct w:val="0"/>
        <w:jc w:val="center"/>
        <w:rPr>
          <w:rFonts w:ascii="仿宋_GB2312" w:eastAsia="仿宋_GB2312"/>
        </w:rPr>
      </w:pPr>
    </w:p>
    <w:p w:rsidR="006B7C68" w:rsidRDefault="006B7C68" w:rsidP="000D6506">
      <w:pPr>
        <w:keepNext/>
        <w:overflowPunct w:val="0"/>
        <w:jc w:val="center"/>
        <w:rPr>
          <w:rFonts w:ascii="仿宋_GB2312" w:eastAsia="仿宋_GB2312"/>
        </w:rPr>
      </w:pPr>
    </w:p>
    <w:p w:rsidR="006B7C68" w:rsidRDefault="006B7C68" w:rsidP="000D6506">
      <w:pPr>
        <w:keepNext/>
        <w:overflowPunct w:val="0"/>
        <w:jc w:val="center"/>
        <w:rPr>
          <w:rFonts w:ascii="仿宋_GB2312" w:eastAsia="仿宋_GB2312"/>
        </w:rPr>
      </w:pPr>
    </w:p>
    <w:p w:rsidR="00363430" w:rsidRPr="00ED582E" w:rsidRDefault="00A457C1" w:rsidP="000D6506">
      <w:pPr>
        <w:keepNext/>
        <w:overflowPunct w:val="0"/>
        <w:jc w:val="center"/>
        <w:rPr>
          <w:rFonts w:ascii="方正小标宋简体" w:eastAsia="方正小标宋简体" w:hAnsi="仿宋" w:cs="仿宋"/>
          <w:b/>
          <w:bCs/>
          <w:sz w:val="32"/>
          <w:szCs w:val="32"/>
        </w:rPr>
      </w:pPr>
      <w:r w:rsidRPr="00ED582E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表二（1）各级教育生均公共财政教育事业费增长情况（续）</w:t>
      </w:r>
    </w:p>
    <w:p w:rsidR="00363430" w:rsidRPr="00ED582E" w:rsidRDefault="005A3E12">
      <w:pPr>
        <w:keepNext/>
        <w:overflowPunct w:val="0"/>
        <w:ind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5A3E12">
        <w:rPr>
          <w:rFonts w:ascii="方正小标宋简体" w:eastAsia="方正小标宋简体"/>
        </w:rPr>
        <w:pict>
          <v:shape id="框架4" o:spid="_x0000_s1029" type="#_x0000_t202" style="position:absolute;left:0;text-align:left;margin-left:63pt;margin-top:37.55pt;width:471.1pt;height:162pt;z-index:251654656;mso-position-horizontal-relative:page" filled="f" stroked="f">
            <v:textbox inset="0,0,0,0">
              <w:txbxContent>
                <w:tbl>
                  <w:tblPr>
                    <w:tblStyle w:val="a9"/>
                    <w:tblW w:w="9351" w:type="dxa"/>
                    <w:tblInd w:w="108" w:type="dxa"/>
                    <w:tblLayout w:type="fixed"/>
                    <w:tblCellMar>
                      <w:left w:w="103" w:type="dxa"/>
                    </w:tblCellMar>
                    <w:tblLook w:val="04A0"/>
                  </w:tblPr>
                  <w:tblGrid>
                    <w:gridCol w:w="1215"/>
                    <w:gridCol w:w="1332"/>
                    <w:gridCol w:w="1270"/>
                    <w:gridCol w:w="1423"/>
                    <w:gridCol w:w="1418"/>
                    <w:gridCol w:w="1417"/>
                    <w:gridCol w:w="1276"/>
                  </w:tblGrid>
                  <w:tr w:rsidR="00363430" w:rsidRPr="00DA3985" w:rsidTr="006B7C68">
                    <w:tc>
                      <w:tcPr>
                        <w:tcW w:w="1215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363430">
                        <w:pPr>
                          <w:keepNext/>
                          <w:overflowPunct w:val="0"/>
                          <w:rPr>
                            <w:rFonts w:ascii="仿宋_GB2312" w:eastAsia="仿宋_GB2312" w:hAnsi="仿宋" w:cs="仿宋"/>
                            <w:sz w:val="32"/>
                            <w:szCs w:val="32"/>
                          </w:rPr>
                        </w:pPr>
                      </w:p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地区</w:t>
                        </w:r>
                      </w:p>
                    </w:tc>
                    <w:tc>
                      <w:tcPr>
                        <w:tcW w:w="4025" w:type="dxa"/>
                        <w:gridSpan w:val="3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普通高中</w:t>
                        </w:r>
                      </w:p>
                    </w:tc>
                    <w:tc>
                      <w:tcPr>
                        <w:tcW w:w="4111" w:type="dxa"/>
                        <w:gridSpan w:val="3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中等职业学校</w:t>
                        </w:r>
                      </w:p>
                    </w:tc>
                  </w:tr>
                  <w:tr w:rsidR="00363430" w:rsidRPr="00DA3985" w:rsidTr="006B7C68">
                    <w:tc>
                      <w:tcPr>
                        <w:tcW w:w="1215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363430">
                        <w:pPr>
                          <w:keepNext/>
                          <w:overflowPunct w:val="0"/>
                          <w:rPr>
                            <w:rFonts w:ascii="仿宋_GB2312" w:eastAsia="仿宋_GB2312" w:hAnsi="仿宋" w:cs="仿宋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32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2015年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2016年</w:t>
                        </w:r>
                      </w:p>
                    </w:tc>
                    <w:tc>
                      <w:tcPr>
                        <w:tcW w:w="142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增长</w:t>
                        </w:r>
                      </w:p>
                      <w:p w:rsidR="00363430" w:rsidRPr="00DA3985" w:rsidRDefault="00A457C1">
                        <w:pPr>
                          <w:keepNext/>
                          <w:overflowPunct w:val="0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率（%）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2015年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2016年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增长率（%）</w:t>
                        </w:r>
                      </w:p>
                    </w:tc>
                  </w:tr>
                  <w:tr w:rsidR="00363430" w:rsidRPr="00DA3985" w:rsidTr="006B7C68">
                    <w:tc>
                      <w:tcPr>
                        <w:tcW w:w="121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濮阳市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7039.05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7825.28</w:t>
                        </w:r>
                      </w:p>
                    </w:tc>
                    <w:tc>
                      <w:tcPr>
                        <w:tcW w:w="142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11.17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14993.1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8507.14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-43.14</w:t>
                        </w:r>
                      </w:p>
                    </w:tc>
                  </w:tr>
                  <w:tr w:rsidR="00363430" w:rsidRPr="00DA3985" w:rsidTr="006B7C68">
                    <w:tc>
                      <w:tcPr>
                        <w:tcW w:w="121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南乐县</w:t>
                        </w:r>
                      </w:p>
                    </w:tc>
                    <w:tc>
                      <w:tcPr>
                        <w:tcW w:w="1332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3444.1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4032.58</w:t>
                        </w:r>
                      </w:p>
                    </w:tc>
                    <w:tc>
                      <w:tcPr>
                        <w:tcW w:w="1423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17.09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12573.78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20969.18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DA3985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DA3985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66.77</w:t>
                        </w:r>
                      </w:p>
                    </w:tc>
                  </w:tr>
                </w:tbl>
                <w:p w:rsidR="00363430" w:rsidRPr="00DA3985" w:rsidRDefault="00363430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page"/>
          </v:shape>
        </w:pict>
      </w:r>
      <w:r w:rsidR="00A457C1" w:rsidRPr="00ED582E">
        <w:rPr>
          <w:rFonts w:ascii="仿宋_GB2312" w:eastAsia="仿宋_GB2312" w:hAnsi="仿宋" w:cs="仿宋" w:hint="eastAsia"/>
          <w:sz w:val="32"/>
          <w:szCs w:val="32"/>
        </w:rPr>
        <w:t>单位：元</w:t>
      </w:r>
    </w:p>
    <w:p w:rsidR="00DA3985" w:rsidRDefault="00A457C1" w:rsidP="00DA3985">
      <w:pPr>
        <w:keepNext/>
        <w:overflowPunct w:val="0"/>
        <w:ind w:firstLine="640"/>
        <w:rPr>
          <w:rFonts w:ascii="方正小标宋简体" w:eastAsia="方正小标宋简体" w:hAnsi="仿宋" w:cs="仿宋"/>
          <w:b/>
          <w:bCs/>
          <w:sz w:val="32"/>
          <w:szCs w:val="32"/>
        </w:rPr>
      </w:pPr>
      <w:r w:rsidRPr="00ED582E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表二（2）各级生均公共财政预算公用经费增长情况</w:t>
      </w:r>
    </w:p>
    <w:p w:rsidR="00363430" w:rsidRPr="006B7C68" w:rsidRDefault="00DA3985" w:rsidP="006B7C68">
      <w:pPr>
        <w:keepNext/>
        <w:overflowPunct w:val="0"/>
        <w:ind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ED582E">
        <w:rPr>
          <w:rFonts w:ascii="仿宋_GB2312" w:eastAsia="仿宋_GB2312" w:hAnsi="仿宋" w:cs="仿宋" w:hint="eastAsia"/>
          <w:sz w:val="32"/>
          <w:szCs w:val="32"/>
        </w:rPr>
        <w:t>单位：元</w:t>
      </w:r>
    </w:p>
    <w:tbl>
      <w:tblPr>
        <w:tblStyle w:val="a9"/>
        <w:tblpPr w:leftFromText="180" w:rightFromText="180" w:vertAnchor="text" w:horzAnchor="margin" w:tblpY="933"/>
        <w:tblW w:w="9175" w:type="dxa"/>
        <w:tblLayout w:type="fixed"/>
        <w:tblCellMar>
          <w:left w:w="103" w:type="dxa"/>
        </w:tblCellMar>
        <w:tblLook w:val="04A0"/>
      </w:tblPr>
      <w:tblGrid>
        <w:gridCol w:w="1237"/>
        <w:gridCol w:w="1276"/>
        <w:gridCol w:w="1418"/>
        <w:gridCol w:w="1275"/>
        <w:gridCol w:w="1418"/>
        <w:gridCol w:w="1276"/>
        <w:gridCol w:w="1275"/>
      </w:tblGrid>
      <w:tr w:rsidR="00DA3985" w:rsidRPr="00DA3985" w:rsidTr="00DA3985">
        <w:tc>
          <w:tcPr>
            <w:tcW w:w="1237" w:type="dxa"/>
            <w:vMerge w:val="restart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DA3985" w:rsidRPr="00DA3985" w:rsidRDefault="00DA3985" w:rsidP="00DA3985">
            <w:pPr>
              <w:keepNext/>
              <w:overflowPunct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地区</w:t>
            </w:r>
          </w:p>
        </w:tc>
        <w:tc>
          <w:tcPr>
            <w:tcW w:w="3969" w:type="dxa"/>
            <w:gridSpan w:val="3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普通小学</w:t>
            </w:r>
          </w:p>
        </w:tc>
        <w:tc>
          <w:tcPr>
            <w:tcW w:w="3969" w:type="dxa"/>
            <w:gridSpan w:val="3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普通初中</w:t>
            </w:r>
          </w:p>
        </w:tc>
      </w:tr>
      <w:tr w:rsidR="00DA3985" w:rsidRPr="00DA3985" w:rsidTr="00DA3985">
        <w:tc>
          <w:tcPr>
            <w:tcW w:w="1237" w:type="dxa"/>
            <w:vMerge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2015年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2016年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增长率（%）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2015年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2016年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增长率（%）</w:t>
            </w:r>
          </w:p>
        </w:tc>
      </w:tr>
      <w:tr w:rsidR="00DA3985" w:rsidRPr="00DA3985" w:rsidTr="00DA3985">
        <w:tc>
          <w:tcPr>
            <w:tcW w:w="1237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濮阳市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2351.26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2322.89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-1.21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3393.82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3584.43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5.62</w:t>
            </w:r>
          </w:p>
        </w:tc>
      </w:tr>
      <w:tr w:rsidR="00DA3985" w:rsidRPr="00DA3985" w:rsidTr="00DA3985">
        <w:tc>
          <w:tcPr>
            <w:tcW w:w="1237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2"/>
                <w:szCs w:val="32"/>
              </w:rPr>
            </w:pPr>
            <w:r w:rsidRPr="00DA3985">
              <w:rPr>
                <w:rFonts w:ascii="仿宋_GB2312" w:eastAsia="仿宋_GB2312" w:hAnsi="仿宋" w:cs="仿宋" w:hint="eastAsia"/>
                <w:sz w:val="32"/>
                <w:szCs w:val="32"/>
              </w:rPr>
              <w:t>南乐县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2291.79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2513.96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9.69</w:t>
            </w:r>
          </w:p>
        </w:tc>
        <w:tc>
          <w:tcPr>
            <w:tcW w:w="1418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2016.14</w:t>
            </w:r>
          </w:p>
        </w:tc>
        <w:tc>
          <w:tcPr>
            <w:tcW w:w="1276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4091.03</w:t>
            </w: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</w:tcPr>
          <w:p w:rsidR="00DA3985" w:rsidRPr="00DA3985" w:rsidRDefault="00DA3985" w:rsidP="00DA3985">
            <w:pPr>
              <w:keepNext/>
              <w:overflowPunct w:val="0"/>
              <w:rPr>
                <w:rFonts w:ascii="仿宋_GB2312" w:eastAsia="仿宋_GB2312"/>
                <w:sz w:val="30"/>
                <w:szCs w:val="30"/>
              </w:rPr>
            </w:pPr>
            <w:r w:rsidRPr="00DA3985">
              <w:rPr>
                <w:rFonts w:ascii="仿宋_GB2312" w:eastAsia="仿宋_GB2312" w:hAnsi="仿宋" w:cs="仿宋" w:hint="eastAsia"/>
                <w:sz w:val="30"/>
                <w:szCs w:val="30"/>
              </w:rPr>
              <w:t>102.91</w:t>
            </w:r>
          </w:p>
        </w:tc>
      </w:tr>
    </w:tbl>
    <w:p w:rsidR="00363430" w:rsidRPr="00ED582E" w:rsidRDefault="005A3E12">
      <w:pPr>
        <w:keepNext/>
        <w:overflowPunct w:val="0"/>
        <w:ind w:firstLine="218"/>
        <w:jc w:val="left"/>
        <w:rPr>
          <w:rFonts w:ascii="方正小标宋简体" w:eastAsia="方正小标宋简体" w:hAnsi="仿宋" w:cs="仿宋"/>
          <w:b/>
          <w:bCs/>
          <w:sz w:val="32"/>
          <w:szCs w:val="32"/>
        </w:rPr>
      </w:pPr>
      <w:r w:rsidRPr="005A3E12">
        <w:lastRenderedPageBreak/>
        <w:pict>
          <v:shape id="框架5" o:spid="_x0000_s1028" type="#_x0000_t202" style="position:absolute;left:0;text-align:left;margin-left:83.95pt;margin-top:15.5pt;width:426.1pt;height:91.45pt;z-index:251655680;mso-position-horizontal-relative:page;mso-position-vertical-relative:text" o:gfxdata="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I/U4oNYAAAALAQAADwAAAAAAAAABACAAAAAiAAAA&#10;ZHJzL2Rvd25yZXYueG1sUEsBAhQAFAAAAAgAh07iQIN6evKXAQAAFwMAAA4AAAAAAAAAAQAgAAAA&#10;JQEAAGRycy9lMm9Eb2MueG1sUEsFBgAAAAAGAAYAWQEAAC4FAAAAAA==&#10;" filled="f" stroked="f">
            <v:textbox style="mso-next-textbox:#框架5;mso-fit-shape-to-text:t" inset="0,0,0,0">
              <w:txbxContent>
                <w:p w:rsidR="00363430" w:rsidRPr="00DA3985" w:rsidRDefault="00363430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</w:p>
              </w:txbxContent>
            </v:textbox>
            <w10:wrap type="square" anchorx="page"/>
          </v:shape>
        </w:pict>
      </w:r>
      <w:r w:rsidR="00A457C1" w:rsidRPr="00ED582E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表二（2）各级生均公共财政预算公用经费增长情况（续）</w:t>
      </w:r>
    </w:p>
    <w:p w:rsidR="00363430" w:rsidRPr="00ED582E" w:rsidRDefault="005A3E12">
      <w:pPr>
        <w:keepNext/>
        <w:overflowPunct w:val="0"/>
        <w:ind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5A3E12">
        <w:rPr>
          <w:rFonts w:ascii="仿宋_GB2312" w:eastAsia="仿宋_GB2312"/>
        </w:rPr>
        <w:pict>
          <v:shape id="框架6" o:spid="_x0000_s1027" type="#_x0000_t202" style="position:absolute;left:0;text-align:left;margin-left:60.75pt;margin-top:49.65pt;width:456.75pt;height:158.9pt;z-index:251656704;mso-position-horizontal-relative:page" filled="f" stroked="f">
            <v:textbox inset="0,0,0,0">
              <w:txbxContent>
                <w:tbl>
                  <w:tblPr>
                    <w:tblStyle w:val="a9"/>
                    <w:tblW w:w="8926" w:type="dxa"/>
                    <w:tblInd w:w="108" w:type="dxa"/>
                    <w:tblLayout w:type="fixed"/>
                    <w:tblCellMar>
                      <w:left w:w="103" w:type="dxa"/>
                    </w:tblCellMar>
                    <w:tblLook w:val="04A0"/>
                  </w:tblPr>
                  <w:tblGrid>
                    <w:gridCol w:w="1216"/>
                    <w:gridCol w:w="1331"/>
                    <w:gridCol w:w="1276"/>
                    <w:gridCol w:w="1275"/>
                    <w:gridCol w:w="1276"/>
                    <w:gridCol w:w="1276"/>
                    <w:gridCol w:w="1276"/>
                  </w:tblGrid>
                  <w:tr w:rsidR="00363430" w:rsidTr="006B7C68">
                    <w:tc>
                      <w:tcPr>
                        <w:tcW w:w="1216" w:type="dxa"/>
                        <w:vMerge w:val="restart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363430">
                        <w:pPr>
                          <w:keepNext/>
                          <w:overflowPunct w:val="0"/>
                          <w:rPr>
                            <w:rFonts w:ascii="仿宋_GB2312" w:eastAsia="仿宋_GB2312" w:hAnsi="仿宋" w:cs="仿宋"/>
                            <w:sz w:val="32"/>
                            <w:szCs w:val="32"/>
                          </w:rPr>
                        </w:pPr>
                      </w:p>
                      <w:p w:rsidR="00363430" w:rsidRPr="00ED582E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地区</w:t>
                        </w:r>
                      </w:p>
                    </w:tc>
                    <w:tc>
                      <w:tcPr>
                        <w:tcW w:w="3882" w:type="dxa"/>
                        <w:gridSpan w:val="3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A457C1">
                        <w:pPr>
                          <w:keepNext/>
                          <w:overflowPunct w:val="0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普通高中</w:t>
                        </w:r>
                      </w:p>
                    </w:tc>
                    <w:tc>
                      <w:tcPr>
                        <w:tcW w:w="3828" w:type="dxa"/>
                        <w:gridSpan w:val="3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A457C1">
                        <w:pPr>
                          <w:keepNext/>
                          <w:overflowPunct w:val="0"/>
                          <w:jc w:val="center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中等职业学校</w:t>
                        </w:r>
                      </w:p>
                    </w:tc>
                  </w:tr>
                  <w:tr w:rsidR="00363430" w:rsidTr="006B7C68">
                    <w:tc>
                      <w:tcPr>
                        <w:tcW w:w="1216" w:type="dxa"/>
                        <w:vMerge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363430">
                        <w:pPr>
                          <w:keepNext/>
                          <w:overflowPunct w:val="0"/>
                          <w:rPr>
                            <w:rFonts w:ascii="仿宋_GB2312" w:eastAsia="仿宋_GB2312" w:hAnsi="仿宋" w:cs="仿宋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3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2015年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2016年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增长率（%）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2015年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2016年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增长率（%）</w:t>
                        </w:r>
                      </w:p>
                    </w:tc>
                  </w:tr>
                  <w:tr w:rsidR="00363430" w:rsidTr="006B7C68">
                    <w:tc>
                      <w:tcPr>
                        <w:tcW w:w="12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濮阳市</w:t>
                        </w:r>
                      </w:p>
                    </w:tc>
                    <w:tc>
                      <w:tcPr>
                        <w:tcW w:w="133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2378.78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2463.52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3.56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9413.34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3521.98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-62.59</w:t>
                        </w:r>
                      </w:p>
                    </w:tc>
                  </w:tr>
                  <w:tr w:rsidR="00363430" w:rsidTr="006B7C68">
                    <w:tc>
                      <w:tcPr>
                        <w:tcW w:w="121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ED582E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2"/>
                            <w:szCs w:val="32"/>
                          </w:rPr>
                        </w:pPr>
                        <w:bookmarkStart w:id="0" w:name="__UnoMark__965_365431951"/>
                        <w:bookmarkEnd w:id="0"/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南乐</w:t>
                        </w:r>
                        <w:bookmarkStart w:id="1" w:name="__UnoMark__966_365431951"/>
                        <w:bookmarkEnd w:id="1"/>
                        <w:r w:rsidRPr="00ED582E">
                          <w:rPr>
                            <w:rFonts w:ascii="仿宋_GB2312" w:eastAsia="仿宋_GB2312" w:hAnsi="仿宋" w:cs="仿宋" w:hint="eastAsia"/>
                            <w:sz w:val="32"/>
                            <w:szCs w:val="32"/>
                          </w:rPr>
                          <w:t>县</w:t>
                        </w:r>
                      </w:p>
                    </w:tc>
                    <w:tc>
                      <w:tcPr>
                        <w:tcW w:w="1331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bookmarkStart w:id="2" w:name="__UnoMark__968_365431951"/>
                        <w:bookmarkStart w:id="3" w:name="__UnoMark__967_365431951"/>
                        <w:bookmarkEnd w:id="2"/>
                        <w:bookmarkEnd w:id="3"/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790.62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bookmarkStart w:id="4" w:name="__UnoMark__969_365431951"/>
                        <w:bookmarkStart w:id="5" w:name="__UnoMark__970_365431951"/>
                        <w:bookmarkEnd w:id="4"/>
                        <w:bookmarkEnd w:id="5"/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1099.41</w:t>
                        </w:r>
                      </w:p>
                    </w:tc>
                    <w:tc>
                      <w:tcPr>
                        <w:tcW w:w="1275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bookmarkStart w:id="6" w:name="__UnoMark__972_365431951"/>
                        <w:bookmarkStart w:id="7" w:name="__UnoMark__971_365431951"/>
                        <w:bookmarkEnd w:id="6"/>
                        <w:bookmarkEnd w:id="7"/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39.06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bookmarkStart w:id="8" w:name="__UnoMark__974_365431951"/>
                        <w:bookmarkStart w:id="9" w:name="__UnoMark__973_365431951"/>
                        <w:bookmarkEnd w:id="8"/>
                        <w:bookmarkEnd w:id="9"/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2271.57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bookmarkStart w:id="10" w:name="__UnoMark__975_365431951"/>
                        <w:bookmarkStart w:id="11" w:name="__UnoMark__976_365431951"/>
                        <w:bookmarkEnd w:id="10"/>
                        <w:bookmarkEnd w:id="11"/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3521.98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cMar>
                          <w:left w:w="103" w:type="dxa"/>
                        </w:tcMar>
                      </w:tcPr>
                      <w:p w:rsidR="00363430" w:rsidRPr="006B7C68" w:rsidRDefault="00A457C1">
                        <w:pPr>
                          <w:keepNext/>
                          <w:overflowPunct w:val="0"/>
                          <w:rPr>
                            <w:rFonts w:ascii="仿宋_GB2312" w:eastAsia="仿宋_GB2312"/>
                            <w:sz w:val="30"/>
                            <w:szCs w:val="30"/>
                          </w:rPr>
                        </w:pPr>
                        <w:bookmarkStart w:id="12" w:name="__UnoMark__977_365431951"/>
                        <w:bookmarkEnd w:id="12"/>
                        <w:r w:rsidRPr="006B7C68">
                          <w:rPr>
                            <w:rFonts w:ascii="仿宋_GB2312" w:eastAsia="仿宋_GB2312" w:hAnsi="仿宋" w:cs="仿宋" w:hint="eastAsia"/>
                            <w:sz w:val="30"/>
                            <w:szCs w:val="30"/>
                          </w:rPr>
                          <w:t>55.05</w:t>
                        </w:r>
                      </w:p>
                    </w:tc>
                  </w:tr>
                </w:tbl>
                <w:p w:rsidR="00363430" w:rsidRDefault="00363430"/>
              </w:txbxContent>
            </v:textbox>
            <w10:wrap type="square" anchorx="page"/>
          </v:shape>
        </w:pict>
      </w:r>
      <w:r w:rsidR="00A457C1" w:rsidRPr="00ED582E">
        <w:rPr>
          <w:rFonts w:ascii="仿宋_GB2312" w:eastAsia="仿宋_GB2312" w:hAnsi="仿宋" w:cs="仿宋" w:hint="eastAsia"/>
          <w:sz w:val="32"/>
          <w:szCs w:val="32"/>
        </w:rPr>
        <w:t>单位：元</w:t>
      </w:r>
    </w:p>
    <w:p w:rsidR="00363430" w:rsidRDefault="00363430">
      <w:pPr>
        <w:keepNext/>
        <w:overflowPunct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363430" w:rsidRDefault="00363430">
      <w:pPr>
        <w:keepNext/>
        <w:overflowPunct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363430" w:rsidRDefault="00363430">
      <w:pPr>
        <w:keepNext/>
        <w:overflowPunct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  <w:bookmarkStart w:id="13" w:name="_GoBack"/>
      <w:bookmarkEnd w:id="13"/>
    </w:p>
    <w:p w:rsidR="00363430" w:rsidRDefault="00363430">
      <w:pPr>
        <w:keepNext/>
        <w:overflowPunct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363430" w:rsidRDefault="00363430">
      <w:pPr>
        <w:keepNext/>
        <w:overflowPunct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363430" w:rsidRDefault="00363430">
      <w:pPr>
        <w:keepNext/>
        <w:overflowPunct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363430" w:rsidRDefault="00363430">
      <w:pPr>
        <w:keepNext/>
        <w:overflowPunct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363430" w:rsidRDefault="00363430">
      <w:pPr>
        <w:keepNext/>
        <w:overflowPunct w:val="0"/>
        <w:ind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0D6506" w:rsidRDefault="000D6506" w:rsidP="000D6506">
      <w:pPr>
        <w:tabs>
          <w:tab w:val="left" w:pos="5125"/>
        </w:tabs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0D6506" w:rsidRDefault="000D6506" w:rsidP="000D6506">
      <w:pPr>
        <w:spacing w:line="560" w:lineRule="exact"/>
        <w:ind w:firstLineChars="1850" w:firstLine="5920"/>
        <w:rPr>
          <w:rFonts w:ascii="仿宋_GB2312" w:eastAsia="仿宋_GB2312"/>
          <w:sz w:val="32"/>
          <w:szCs w:val="32"/>
        </w:rPr>
      </w:pPr>
    </w:p>
    <w:p w:rsidR="00363430" w:rsidRPr="000D6506" w:rsidRDefault="005A3E12" w:rsidP="000D6506">
      <w:pPr>
        <w:autoSpaceDE w:val="0"/>
        <w:autoSpaceDN w:val="0"/>
        <w:adjustRightInd w:val="0"/>
        <w:ind w:firstLineChars="100" w:firstLine="320"/>
        <w:rPr>
          <w:rFonts w:ascii="仿宋" w:eastAsia="仿宋" w:hAnsi="仿宋" w:cs="仿宋"/>
          <w:sz w:val="32"/>
          <w:szCs w:val="32"/>
        </w:rPr>
      </w:pPr>
      <w:r w:rsidRPr="005A3E12">
        <w:rPr>
          <w:rFonts w:ascii="仿宋_GB2312" w:eastAsia="仿宋_GB2312"/>
          <w:sz w:val="32"/>
        </w:rPr>
        <w:pict>
          <v:line id="Line 18" o:spid="_x0000_s1039" style="position:absolute;left:0;text-align:left;z-index:251663872" from="0,32.6pt" to="452.4pt,32.65pt" wrapcoords="-37 0 -37 0 21675 0 21675 0 -37 0"/>
        </w:pict>
      </w:r>
      <w:r w:rsidRPr="005A3E12">
        <w:rPr>
          <w:rFonts w:ascii="黑体" w:eastAsia="黑体"/>
          <w:sz w:val="32"/>
        </w:rPr>
        <w:pict>
          <v:line id="Line 17" o:spid="_x0000_s1038" style="position:absolute;left:0;text-align:left;z-index:251662848" from="0,-.1pt" to="452.4pt,-.05pt" wrapcoords="-37 0 -37 0 21675 0 21675 0 -37 0"/>
        </w:pict>
      </w:r>
      <w:r w:rsidR="000D6506">
        <w:rPr>
          <w:rFonts w:ascii="仿宋_GB2312" w:eastAsia="仿宋_GB2312" w:hint="eastAsia"/>
          <w:sz w:val="32"/>
        </w:rPr>
        <w:t>南乐县教育局办公室                 2018年1月</w:t>
      </w:r>
      <w:r w:rsidR="000C1D71">
        <w:rPr>
          <w:rFonts w:ascii="仿宋_GB2312" w:eastAsia="仿宋_GB2312" w:hint="eastAsia"/>
          <w:sz w:val="32"/>
        </w:rPr>
        <w:t>26</w:t>
      </w:r>
      <w:r w:rsidR="000D6506">
        <w:rPr>
          <w:rFonts w:ascii="仿宋_GB2312" w:eastAsia="仿宋_GB2312" w:hint="eastAsia"/>
          <w:sz w:val="32"/>
        </w:rPr>
        <w:t xml:space="preserve">日印发　</w:t>
      </w:r>
    </w:p>
    <w:sectPr w:rsidR="00363430" w:rsidRPr="000D6506" w:rsidSect="000D6506">
      <w:footerReference w:type="even" r:id="rId7"/>
      <w:footerReference w:type="default" r:id="rId8"/>
      <w:pgSz w:w="11906" w:h="16838"/>
      <w:pgMar w:top="1985" w:right="1418" w:bottom="1701" w:left="1418" w:header="851" w:footer="992" w:gutter="0"/>
      <w:pgNumType w:fmt="numberInDash"/>
      <w:cols w:space="720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2C6" w:rsidRDefault="00D972C6" w:rsidP="00363430">
      <w:r>
        <w:separator/>
      </w:r>
    </w:p>
  </w:endnote>
  <w:endnote w:type="continuationSeparator" w:id="1">
    <w:p w:rsidR="00D972C6" w:rsidRDefault="00D972C6" w:rsidP="0036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roman"/>
    <w:pitch w:val="default"/>
    <w:sig w:usb0="00000000" w:usb1="38CF7CFA" w:usb2="00000016" w:usb3="00000000" w:csb0="00040001" w:csb1="00000000"/>
  </w:font>
  <w:font w:name="Calibri Light">
    <w:altName w:val="Arial Unicode MS"/>
    <w:charset w:val="00"/>
    <w:family w:val="roman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502533"/>
      <w:docPartObj>
        <w:docPartGallery w:val="Page Numbers (Bottom of Page)"/>
        <w:docPartUnique/>
      </w:docPartObj>
    </w:sdtPr>
    <w:sdtContent>
      <w:p w:rsidR="000D6506" w:rsidRDefault="005A3E12">
        <w:pPr>
          <w:pStyle w:val="a6"/>
        </w:pPr>
        <w:r w:rsidRPr="000D6506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0D6506" w:rsidRPr="000D6506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0D6506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C1D71" w:rsidRPr="000C1D7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0C1D71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0D6506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0D6506" w:rsidRDefault="000D65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502532"/>
      <w:docPartObj>
        <w:docPartGallery w:val="Page Numbers (Bottom of Page)"/>
        <w:docPartUnique/>
      </w:docPartObj>
    </w:sdtPr>
    <w:sdtContent>
      <w:p w:rsidR="000D6506" w:rsidRDefault="005A3E12">
        <w:pPr>
          <w:pStyle w:val="a6"/>
          <w:jc w:val="right"/>
        </w:pPr>
        <w:r w:rsidRPr="000D6506">
          <w:rPr>
            <w:rFonts w:asciiTheme="minorEastAsia" w:hAnsiTheme="minorEastAsia"/>
            <w:sz w:val="28"/>
            <w:szCs w:val="28"/>
          </w:rPr>
          <w:fldChar w:fldCharType="begin"/>
        </w:r>
        <w:r w:rsidR="000D6506" w:rsidRPr="000D6506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0D6506">
          <w:rPr>
            <w:rFonts w:asciiTheme="minorEastAsia" w:hAnsiTheme="minorEastAsia"/>
            <w:sz w:val="28"/>
            <w:szCs w:val="28"/>
          </w:rPr>
          <w:fldChar w:fldCharType="separate"/>
        </w:r>
        <w:r w:rsidR="000C1D71" w:rsidRPr="000C1D71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0C1D71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0D6506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363430" w:rsidRDefault="003634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2C6" w:rsidRDefault="00D972C6" w:rsidP="00363430">
      <w:r>
        <w:separator/>
      </w:r>
    </w:p>
  </w:footnote>
  <w:footnote w:type="continuationSeparator" w:id="1">
    <w:p w:rsidR="00D972C6" w:rsidRDefault="00D972C6" w:rsidP="00363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102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017AA"/>
    <w:rsid w:val="000C1D71"/>
    <w:rsid w:val="000D6506"/>
    <w:rsid w:val="001017AA"/>
    <w:rsid w:val="00176EC2"/>
    <w:rsid w:val="00244B17"/>
    <w:rsid w:val="00363430"/>
    <w:rsid w:val="0055241C"/>
    <w:rsid w:val="005A3E12"/>
    <w:rsid w:val="006B7C68"/>
    <w:rsid w:val="00710226"/>
    <w:rsid w:val="00795844"/>
    <w:rsid w:val="00A457C1"/>
    <w:rsid w:val="00B8012B"/>
    <w:rsid w:val="00D85C2F"/>
    <w:rsid w:val="00D87E44"/>
    <w:rsid w:val="00D972C6"/>
    <w:rsid w:val="00DA3985"/>
    <w:rsid w:val="00E04D53"/>
    <w:rsid w:val="00E22AB6"/>
    <w:rsid w:val="00ED582E"/>
    <w:rsid w:val="298B5798"/>
    <w:rsid w:val="2A641895"/>
    <w:rsid w:val="44017067"/>
    <w:rsid w:val="47CE483F"/>
    <w:rsid w:val="5C354766"/>
    <w:rsid w:val="6A9E5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</o:shapedefaults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qFormat="1"/>
    <w:lsdException w:name="List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430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63430"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Body Text"/>
    <w:basedOn w:val="a"/>
    <w:rsid w:val="00363430"/>
    <w:pPr>
      <w:spacing w:after="140" w:line="288" w:lineRule="auto"/>
    </w:pPr>
  </w:style>
  <w:style w:type="paragraph" w:styleId="a5">
    <w:name w:val="Balloon Text"/>
    <w:basedOn w:val="a"/>
    <w:link w:val="Char"/>
    <w:rsid w:val="00363430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36343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36343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List"/>
    <w:basedOn w:val="a4"/>
    <w:qFormat/>
    <w:rsid w:val="00363430"/>
    <w:rPr>
      <w:rFonts w:cs="Mangal"/>
    </w:rPr>
  </w:style>
  <w:style w:type="table" w:styleId="a9">
    <w:name w:val="Table Grid"/>
    <w:basedOn w:val="a1"/>
    <w:qFormat/>
    <w:rsid w:val="0036343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标题样式"/>
    <w:basedOn w:val="a"/>
    <w:next w:val="a4"/>
    <w:qFormat/>
    <w:rsid w:val="00363430"/>
    <w:pPr>
      <w:keepNext/>
      <w:spacing w:before="240" w:after="120"/>
    </w:pPr>
    <w:rPr>
      <w:rFonts w:ascii="Arial" w:eastAsia="微软雅黑" w:hAnsi="Arial" w:cs="Mangal"/>
      <w:sz w:val="28"/>
      <w:szCs w:val="28"/>
    </w:rPr>
  </w:style>
  <w:style w:type="paragraph" w:customStyle="1" w:styleId="ab">
    <w:name w:val="索引"/>
    <w:basedOn w:val="a"/>
    <w:qFormat/>
    <w:rsid w:val="00363430"/>
    <w:pPr>
      <w:suppressLineNumbers/>
    </w:pPr>
    <w:rPr>
      <w:rFonts w:cs="Mangal"/>
    </w:rPr>
  </w:style>
  <w:style w:type="paragraph" w:customStyle="1" w:styleId="ac">
    <w:name w:val="框架内容"/>
    <w:basedOn w:val="a"/>
    <w:qFormat/>
    <w:rsid w:val="00363430"/>
  </w:style>
  <w:style w:type="character" w:customStyle="1" w:styleId="Char">
    <w:name w:val="批注框文本 Char"/>
    <w:basedOn w:val="a0"/>
    <w:link w:val="a5"/>
    <w:rsid w:val="00363430"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D6506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2"/>
    <customShpInfo spid="_x0000_s1033"/>
    <customShpInfo spid="_x0000_s1034"/>
    <customShpInfo spid="_x0000_s103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268</Words>
  <Characters>1533</Characters>
  <Application>Microsoft Office Word</Application>
  <DocSecurity>0</DocSecurity>
  <Lines>12</Lines>
  <Paragraphs>3</Paragraphs>
  <ScaleCrop>false</ScaleCrop>
  <Company>微软中国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</cp:revision>
  <cp:lastPrinted>2018-01-26T01:35:00Z</cp:lastPrinted>
  <dcterms:created xsi:type="dcterms:W3CDTF">2018-01-25T00:30:00Z</dcterms:created>
  <dcterms:modified xsi:type="dcterms:W3CDTF">2018-01-26T01:38:00Z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2052-10.1.0.6929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