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en-US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en-US"/>
        </w:rPr>
        <w:t>挖掘城市道路许可服务指南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事项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名称：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挖掘城市道路许可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en-US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、事项类型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行政许可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三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、设立依据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城市道路管理条例》（1996年6月4日国务院令第198号，2011年1月1日予以修改）第三十条：未经市政工程行政主管部门和公安交通管理部门批准，任何单位和个人不得占用或挖掘城市道路。第三十一条：因特殊情况需要临时占用城市道路的，须经市政工程行政主管部门和公安交通管理部门批准，方可按照规定占用。第三十三条：因工程建设需要挖掘城市道路的，应当持城市规划部门批准签发的文件和有关设计文件，到市政工程行政主管部门和公安交通管理部门办理审批手续，方可按照规定挖掘。新建、扩建、改建的城市道路交付使用后5年内、大修的城市道路竣工后3年内不得挖掘；因特殊情况需要挖掘的，须经县级以上城市人民政府批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《城市道路管理条例》（1996年6月4日国务院令第198号，2011年1月1日予以修改）第二十九条：依附于城市道路建设各种管线、杆线等设施的，应当经市政工程行政主管部门批准，方可建设。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国务院对确需保留的行政审批项目设定行政许可的决定》（2004年6月29日国务院令第412号，2009年1月29日予以修改）附件第109项：城市桥梁上架设各类市政管线审批，实施机关：所在城市的市人民政府市政工程设施行政主管部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国务院关于印发清理规范投资项目报建审批事项实施方案的通知》(国发〔2016〕29号)第二条第（二）项：将‘占用、挖掘城市道路审批’、‘依附于城市道路建设各种管线、杆线等设施审批’、‘城市桥梁上架设各类市政管线审批’3项合并为‘市政设施建设类审批’1项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、办理条件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4.1.经城市规划部门许可；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4.2.公安交警部门同意；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4.3.新建、扩建、改建的城市道路交付使用后五年内、大修的城市道路竣工后三年内不得挖掘；因特殊情况确需掘动的，须经市或者区人民政府批准，并增缴五至十倍的掘动修复费；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4.4.每年十一月中旬至第二年三月中旬和法定节日、全市性重大活动的前十五日、后五日内、不准掘动道路；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4.5.需缴纳掘动城市道路修复费;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4.6.法律、法规规定的其他条件。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、申办材料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申办材料应符合以下要求：</w:t>
      </w:r>
    </w:p>
    <w:tbl>
      <w:tblPr>
        <w:tblStyle w:val="3"/>
        <w:tblpPr w:leftFromText="180" w:rightFromText="180" w:vertAnchor="text" w:horzAnchor="page" w:tblpX="1702" w:tblpY="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391"/>
        <w:gridCol w:w="1216"/>
        <w:gridCol w:w="595"/>
        <w:gridCol w:w="1228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序号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提交材料名称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原件/复印件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份数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纸质/电子版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特定要求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中华人民共和国居民身份证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复印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材料齐全，真实有效。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施工图纸技术设计材料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原件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材料齐全，真实有效。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城市道路掘动申请表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原件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材料齐全，真实有效。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中华人民共和国建设工程规划许可证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原件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材料齐全，真实有效。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城市道路占用费缴纳证明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原件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材料齐全，真实有效。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营业执照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复印件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en-US"/>
              </w:rPr>
              <w:t>纸质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材料齐全，真实有效。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六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、办理时限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法定时限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个工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承诺时限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：1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个工作日。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七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受理方式：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窗口受理：南乐县大数据二楼29号窗口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网上申报：河南政务服务网（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instrText xml:space="preserve"> HYPERLINK "http://www.hnzwfw.gov.cn/" </w:instrTex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http://www.hnzwfw.gov.cn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）按照提示进行网上申报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150" w:firstLineChars="15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150" w:firstLineChars="15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150" w:firstLineChars="15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150" w:firstLineChars="15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手机APP：（二维码图片）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</w:pPr>
      <w:r>
        <w:rPr>
          <w:rFonts w:hint="eastAsia" w:eastAsia="宋体"/>
          <w:lang w:val="en-US" w:eastAsia="zh-CN"/>
        </w:rPr>
        <w:t xml:space="preserve">                      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805815" cy="815340"/>
            <wp:effectExtent l="0" t="0" r="13335" b="3810"/>
            <wp:docPr id="17" name="图片 17" descr="e2399894150360d6e851c8f7b2f1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2399894150360d6e851c8f7b2f17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</w:t>
      </w:r>
      <w:r>
        <w:drawing>
          <wp:inline distT="0" distB="0" distL="114300" distR="114300">
            <wp:extent cx="803275" cy="813435"/>
            <wp:effectExtent l="0" t="0" r="15875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微信公众号        豫事办APP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八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en-US"/>
        </w:rPr>
        <w:t>收费依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据及标准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不收费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九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、咨询方式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现场咨询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：南乐县大数据二楼29号窗口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电话咨询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：0393-6255081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网上咨询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instrText xml:space="preserve"> HYPERLINK "http://www.hnzwfw.gov.cn/" </w:instrTex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http://www.hnzwfw.gov.cn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十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监督投诉渠道：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现场监督投诉：南乐县政务服务到大厅效能督查股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电话监督投诉：0393-8712345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网上监督投诉：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instrText xml:space="preserve"> HYPERLINK "http://www.hnzwfw.gov.cn/" </w:instrTex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t>http://www.hnzwfw.gov.cn</w:t>
      </w:r>
      <w:r>
        <w:rPr>
          <w:rFonts w:hint="eastAsia" w:ascii="宋体" w:hAnsi="宋体" w:eastAsia="宋体" w:cs="宋体"/>
          <w:sz w:val="21"/>
          <w:szCs w:val="21"/>
          <w:lang w:val="en-US" w:eastAsia="en-US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十一</w:t>
      </w:r>
      <w:r>
        <w:rPr>
          <w:rFonts w:hint="eastAsia" w:ascii="黑体" w:hAnsi="黑体" w:eastAsia="黑体" w:cs="黑体"/>
          <w:sz w:val="21"/>
          <w:szCs w:val="21"/>
          <w:lang w:val="en-US" w:eastAsia="en-US"/>
        </w:rPr>
        <w:t>、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办理地址和时间：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办理地址：南乐县一行路与木伦河路交叉口北侧路东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办理时间：周一至周五，法定节假日除外。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夏季 上午8：00-12：00 下午 3：00-6：30 ；冬季 上午8：00-12：00 下午 2：30-6：00。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CDBDE"/>
    <w:multiLevelType w:val="singleLevel"/>
    <w:tmpl w:val="654CDB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808F4"/>
    <w:rsid w:val="3BF8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2021-06-21T03:02:00Z</dcterms:created>
  <dc:creator>猫有九条命却只有一颗心</dc:creator>
  <cp:lastModifiedBy>猫有九条命却只有一颗心</cp:lastModifiedBy>
  <dcterms:modified xsi:type="dcterms:W3CDTF">2021-06-21T03:09:58Z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E4EB7A78A748493B90E6E1D84B691124</vt:lpwstr>
  </property>
</Properties>
</file>